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EF" w:rsidRPr="00BB00CC" w:rsidRDefault="00EA04EF" w:rsidP="00EA04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EA04EF" w:rsidRPr="00A61821" w:rsidRDefault="00EA04EF" w:rsidP="00EA04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05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:rsidR="00EA04EF" w:rsidRPr="00A61821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04EF" w:rsidRPr="00A61821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:rsidR="00EA04EF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04EF" w:rsidRPr="00B403A0" w:rsidRDefault="00EA04EF" w:rsidP="00EA04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A04EF" w:rsidRDefault="00EA04EF" w:rsidP="00EA0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кореспонденция;</w:t>
      </w:r>
    </w:p>
    <w:p w:rsidR="00E53D89" w:rsidRDefault="00E53D89" w:rsidP="00F167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3D89">
        <w:rPr>
          <w:rFonts w:ascii="Times New Roman" w:hAnsi="Times New Roman"/>
          <w:sz w:val="24"/>
          <w:szCs w:val="24"/>
        </w:rPr>
        <w:t>Решение за преустановяване на машинното гласуване на основание чл. 269 от ИК и преминаване към гласуване само с хартиени бюлетини в СИК № 082800006 в Община град Добрич;</w:t>
      </w:r>
    </w:p>
    <w:p w:rsidR="00EA04EF" w:rsidRPr="00E53D89" w:rsidRDefault="00E53D89" w:rsidP="00F167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bookmarkStart w:id="0" w:name="_GoBack"/>
      <w:bookmarkEnd w:id="0"/>
      <w:r w:rsidRPr="00E53D89">
        <w:rPr>
          <w:rFonts w:ascii="Times New Roman" w:hAnsi="Times New Roman"/>
          <w:sz w:val="24"/>
          <w:szCs w:val="24"/>
        </w:rPr>
        <w:t>промени в състава на СИК на Партия „ВЪЗРАЖДАНЕ“ в Община Добрич при произвеждане на изборите за кметове на втори тур на 05 ноември 2023г.</w:t>
      </w:r>
    </w:p>
    <w:p w:rsidR="00EA04EF" w:rsidRDefault="00EA04EF" w:rsidP="00EA04EF"/>
    <w:p w:rsidR="008C2D89" w:rsidRDefault="008C2D89"/>
    <w:sectPr w:rsidR="008C2D89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EF"/>
    <w:rsid w:val="008C2D89"/>
    <w:rsid w:val="00E53D89"/>
    <w:rsid w:val="00E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54D0-BDDE-4A1E-8279-D3D0F77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4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2023-11-05T05:28:00Z</dcterms:created>
  <dcterms:modified xsi:type="dcterms:W3CDTF">2023-11-05T05:29:00Z</dcterms:modified>
</cp:coreProperties>
</file>